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1.6. Объектами </w:t>
      </w:r>
      <w:r>
        <w:rPr>
          <w:rFonts w:ascii="Arial" w:hAnsi="Arial" w:cs="Arial"/>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w:t>
      </w:r>
      <w:r w:rsidRPr="009629B6">
        <w:rPr>
          <w:rFonts w:ascii="Arial" w:hAnsi="Arial" w:cs="Arial"/>
          <w:color w:val="000000"/>
          <w:sz w:val="24"/>
          <w:szCs w:val="24"/>
        </w:rPr>
        <w:t>являются:</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а) в рамках пункта 1 части 1 статьи 16 Федераль</w:t>
      </w:r>
      <w:r>
        <w:rPr>
          <w:rFonts w:ascii="Arial" w:hAnsi="Arial" w:cs="Arial"/>
          <w:color w:val="000000"/>
          <w:sz w:val="24"/>
          <w:szCs w:val="24"/>
        </w:rPr>
        <w:t>ного закона от 31.07.2020 № 248</w:t>
      </w:r>
      <w:r w:rsidRPr="009629B6">
        <w:rPr>
          <w:rFonts w:ascii="Arial" w:hAnsi="Arial" w:cs="Arial"/>
          <w:color w:val="000000"/>
          <w:sz w:val="24"/>
          <w:szCs w:val="24"/>
        </w:rPr>
        <w:t>ФЗ «О государственном контроле (надзоре) и муниципальном контроле в Российской Федерации»:</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б) в рамках пункта 2 части 1 статьи 16 Федераль</w:t>
      </w:r>
      <w:r>
        <w:rPr>
          <w:rFonts w:ascii="Arial" w:hAnsi="Arial" w:cs="Arial"/>
          <w:color w:val="000000"/>
          <w:sz w:val="24"/>
          <w:szCs w:val="24"/>
        </w:rPr>
        <w:t>ного закона от 31.07.2020 № 248</w:t>
      </w:r>
      <w:r w:rsidRPr="009629B6">
        <w:rPr>
          <w:rFonts w:ascii="Arial" w:hAnsi="Arial" w:cs="Arial"/>
          <w:color w:val="000000"/>
          <w:sz w:val="24"/>
          <w:szCs w:val="24"/>
        </w:rPr>
        <w:t>ФЗ «О государственном контроле (надзоре) и муниципальном контроле в Российской Федерации»:</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A82D08" w:rsidRPr="009629B6" w:rsidRDefault="00A82D08" w:rsidP="00A82D08">
      <w:pPr>
        <w:spacing w:after="0" w:line="240" w:lineRule="auto"/>
        <w:ind w:firstLine="709"/>
        <w:jc w:val="both"/>
        <w:rPr>
          <w:rFonts w:ascii="Arial" w:hAnsi="Arial" w:cs="Arial"/>
          <w:color w:val="000000"/>
          <w:sz w:val="20"/>
          <w:szCs w:val="20"/>
        </w:rPr>
      </w:pPr>
      <w:bookmarkStart w:id="0" w:name="_Hlk77675416"/>
      <w:r w:rsidRPr="009629B6">
        <w:rPr>
          <w:rFonts w:ascii="Arial" w:hAnsi="Arial" w:cs="Arial"/>
          <w:color w:val="000000"/>
          <w:sz w:val="24"/>
          <w:szCs w:val="24"/>
        </w:rPr>
        <w:t>внесение платы за </w:t>
      </w:r>
      <w:bookmarkEnd w:id="0"/>
      <w:r w:rsidRPr="009629B6">
        <w:rPr>
          <w:rFonts w:ascii="Arial" w:hAnsi="Arial" w:cs="Arial"/>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внесение платы за присоединение объектов дорожного сервиса к автомобильным дорогам общего пользования местного значения;</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9629B6">
        <w:rPr>
          <w:rFonts w:ascii="Arial" w:hAnsi="Arial" w:cs="Arial"/>
          <w:color w:val="000000"/>
          <w:sz w:val="24"/>
          <w:szCs w:val="24"/>
        </w:rPr>
        <w:t>ТР</w:t>
      </w:r>
      <w:proofErr w:type="gramEnd"/>
      <w:r w:rsidRPr="009629B6">
        <w:rPr>
          <w:rFonts w:ascii="Arial" w:hAnsi="Arial" w:cs="Arial"/>
          <w:color w:val="000000"/>
          <w:sz w:val="24"/>
          <w:szCs w:val="24"/>
        </w:rPr>
        <w:t> ТС 014/2011);</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9629B6">
        <w:rPr>
          <w:rFonts w:ascii="Arial" w:hAnsi="Arial" w:cs="Arial"/>
          <w:color w:val="000000"/>
          <w:sz w:val="24"/>
          <w:szCs w:val="24"/>
        </w:rPr>
        <w:t>ТР</w:t>
      </w:r>
      <w:proofErr w:type="gramEnd"/>
      <w:r w:rsidRPr="009629B6">
        <w:rPr>
          <w:rFonts w:ascii="Arial" w:hAnsi="Arial" w:cs="Arial"/>
          <w:color w:val="000000"/>
          <w:sz w:val="24"/>
          <w:szCs w:val="24"/>
        </w:rPr>
        <w:t> ТС 014/2011);</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придорожные полосы и полосы </w:t>
      </w:r>
      <w:proofErr w:type="gramStart"/>
      <w:r w:rsidRPr="009629B6">
        <w:rPr>
          <w:rFonts w:ascii="Arial" w:hAnsi="Arial" w:cs="Arial"/>
          <w:color w:val="000000"/>
          <w:sz w:val="24"/>
          <w:szCs w:val="24"/>
        </w:rPr>
        <w:t>отвода</w:t>
      </w:r>
      <w:proofErr w:type="gramEnd"/>
      <w:r w:rsidRPr="009629B6">
        <w:rPr>
          <w:rFonts w:ascii="Arial" w:hAnsi="Arial" w:cs="Arial"/>
          <w:color w:val="000000"/>
          <w:sz w:val="24"/>
          <w:szCs w:val="24"/>
        </w:rPr>
        <w:t> автомобильных дорог общего пользования местного значения;</w:t>
      </w:r>
    </w:p>
    <w:p w:rsidR="00A82D08" w:rsidRPr="009629B6" w:rsidRDefault="00A82D08" w:rsidP="00A82D08">
      <w:pPr>
        <w:spacing w:after="0" w:line="240" w:lineRule="auto"/>
        <w:ind w:firstLine="709"/>
        <w:jc w:val="both"/>
        <w:rPr>
          <w:rFonts w:ascii="Arial" w:hAnsi="Arial" w:cs="Arial"/>
          <w:color w:val="000000"/>
          <w:sz w:val="20"/>
          <w:szCs w:val="20"/>
        </w:rPr>
      </w:pPr>
      <w:r w:rsidRPr="009629B6">
        <w:rPr>
          <w:rFonts w:ascii="Arial" w:hAnsi="Arial" w:cs="Arial"/>
          <w:color w:val="000000"/>
          <w:sz w:val="24"/>
          <w:szCs w:val="24"/>
        </w:rPr>
        <w:t>автомобильная дорога общего пользования местного значения и искусственные дорожные сооружения на ней;</w:t>
      </w:r>
    </w:p>
    <w:p w:rsidR="00A82D08" w:rsidRDefault="00A82D08" w:rsidP="00A82D08">
      <w:pPr>
        <w:spacing w:after="0" w:line="240" w:lineRule="auto"/>
        <w:ind w:firstLine="709"/>
        <w:jc w:val="both"/>
        <w:rPr>
          <w:rFonts w:ascii="Arial" w:hAnsi="Arial" w:cs="Arial"/>
          <w:color w:val="000000"/>
          <w:sz w:val="24"/>
          <w:szCs w:val="24"/>
        </w:rPr>
      </w:pPr>
      <w:r w:rsidRPr="009629B6">
        <w:rPr>
          <w:rFonts w:ascii="Arial" w:hAnsi="Arial" w:cs="Arial"/>
          <w:color w:val="000000"/>
          <w:sz w:val="24"/>
          <w:szCs w:val="24"/>
        </w:rPr>
        <w:t>примыкания к автомобильным дорогам местного значения, в том числе примыкания объектов дорожного сервиса.</w:t>
      </w:r>
    </w:p>
    <w:p w:rsidR="00A82D08" w:rsidRPr="00837602" w:rsidRDefault="00A82D08" w:rsidP="00A82D08">
      <w:pPr>
        <w:pStyle w:val="a3"/>
        <w:shd w:val="clear" w:color="auto" w:fill="FFFFFF"/>
        <w:spacing w:before="0" w:beforeAutospacing="0"/>
        <w:rPr>
          <w:rFonts w:ascii="Arial" w:hAnsi="Arial" w:cs="Arial"/>
          <w:color w:val="212529"/>
        </w:rPr>
      </w:pPr>
      <w:r w:rsidRPr="00837602">
        <w:rPr>
          <w:rFonts w:ascii="Arial" w:hAnsi="Arial" w:cs="Arial"/>
          <w:color w:val="212529"/>
        </w:rPr>
        <w:t xml:space="preserve">Объекты контроля </w:t>
      </w:r>
      <w:r>
        <w:rPr>
          <w:rFonts w:ascii="Arial" w:hAnsi="Arial" w:cs="Arial"/>
          <w:color w:val="212529"/>
        </w:rPr>
        <w:t xml:space="preserve">на автомобильном транспорте, городском наземном электрическом транспорте и в дорожном хозяйстве в границах населенных пунктов </w:t>
      </w:r>
      <w:r w:rsidRPr="00837602">
        <w:rPr>
          <w:rFonts w:ascii="Arial" w:hAnsi="Arial" w:cs="Arial"/>
          <w:color w:val="212529"/>
        </w:rPr>
        <w:t xml:space="preserve"> относящие к категории высокого и среднего риска - отсутствуют</w:t>
      </w:r>
    </w:p>
    <w:p w:rsidR="00A82D08" w:rsidRPr="00837602" w:rsidRDefault="00A82D08" w:rsidP="00A82D08">
      <w:pPr>
        <w:pStyle w:val="a3"/>
        <w:shd w:val="clear" w:color="auto" w:fill="FFFFFF"/>
        <w:spacing w:before="0" w:beforeAutospacing="0"/>
        <w:rPr>
          <w:rFonts w:ascii="Arial" w:hAnsi="Arial" w:cs="Arial"/>
          <w:color w:val="212529"/>
        </w:rPr>
      </w:pPr>
      <w:r w:rsidRPr="00837602">
        <w:rPr>
          <w:rFonts w:ascii="Arial" w:hAnsi="Arial" w:cs="Arial"/>
          <w:color w:val="212529"/>
        </w:rPr>
        <w:lastRenderedPageBreak/>
        <w:t>В отношении объектов контроля, отнесенных к категории низкого риска, плановые контрольные мероприятия не проводятся.</w:t>
      </w:r>
    </w:p>
    <w:p w:rsidR="003F485C" w:rsidRDefault="00A82D08"/>
    <w:sectPr w:rsidR="003F485C" w:rsidSect="001B1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82D08"/>
    <w:rsid w:val="001113F5"/>
    <w:rsid w:val="001B14F8"/>
    <w:rsid w:val="005B3FD7"/>
    <w:rsid w:val="00A82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D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2D0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Company>Home</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2025-09-30T10:29:00Z</dcterms:created>
  <dcterms:modified xsi:type="dcterms:W3CDTF">2025-09-30T10:29:00Z</dcterms:modified>
</cp:coreProperties>
</file>